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95273A">
        <w:rPr>
          <w:sz w:val="24"/>
          <w:szCs w:val="24"/>
        </w:rPr>
        <w:t>1</w:t>
      </w:r>
      <w:r w:rsidR="00DB7B0D">
        <w:rPr>
          <w:sz w:val="24"/>
          <w:szCs w:val="24"/>
        </w:rPr>
        <w:t>6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DB7B0D">
        <w:rPr>
          <w:sz w:val="24"/>
          <w:szCs w:val="24"/>
        </w:rPr>
        <w:t>18</w:t>
      </w:r>
      <w:r w:rsidR="009A77E9">
        <w:rPr>
          <w:sz w:val="24"/>
          <w:szCs w:val="24"/>
        </w:rPr>
        <w:t xml:space="preserve"> de </w:t>
      </w:r>
      <w:r w:rsidR="00A02B0A">
        <w:rPr>
          <w:sz w:val="24"/>
          <w:szCs w:val="24"/>
        </w:rPr>
        <w:t>febrero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DB7B0D" w:rsidRPr="0047077E" w:rsidTr="00DB7B0D">
        <w:trPr>
          <w:trHeight w:val="187"/>
        </w:trPr>
        <w:tc>
          <w:tcPr>
            <w:tcW w:w="2268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DB7B0D" w:rsidRPr="0047077E" w:rsidTr="00DB7B0D">
        <w:trPr>
          <w:trHeight w:val="199"/>
        </w:trPr>
        <w:tc>
          <w:tcPr>
            <w:tcW w:w="2268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DB7B0D" w:rsidRPr="0047077E" w:rsidTr="00DB7B0D">
        <w:trPr>
          <w:trHeight w:val="199"/>
        </w:trPr>
        <w:tc>
          <w:tcPr>
            <w:tcW w:w="2268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DB7B0D" w:rsidRPr="0047077E" w:rsidTr="00DB7B0D">
        <w:trPr>
          <w:trHeight w:val="199"/>
        </w:trPr>
        <w:tc>
          <w:tcPr>
            <w:tcW w:w="2268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850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DB7B0D" w:rsidRPr="0047077E" w:rsidTr="00DB7B0D">
        <w:trPr>
          <w:trHeight w:val="248"/>
        </w:trPr>
        <w:tc>
          <w:tcPr>
            <w:tcW w:w="2268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  <w:tc>
          <w:tcPr>
            <w:tcW w:w="2126" w:type="dxa"/>
          </w:tcPr>
          <w:p w:rsidR="00DB7B0D" w:rsidRPr="0047077E" w:rsidRDefault="00DB7B0D" w:rsidP="00DB7B0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DB7B0D" w:rsidRPr="0047077E" w:rsidTr="00DB7B0D">
        <w:trPr>
          <w:trHeight w:val="248"/>
        </w:trPr>
        <w:tc>
          <w:tcPr>
            <w:tcW w:w="2268" w:type="dxa"/>
          </w:tcPr>
          <w:p w:rsidR="00DB7B0D" w:rsidRDefault="00DB7B0D" w:rsidP="00DB7B0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DB7B0D" w:rsidRDefault="00DB7B0D" w:rsidP="00DB7B0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DB7B0D" w:rsidRDefault="00D7740E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</w:tbl>
    <w:p w:rsidR="00C05BB3" w:rsidRDefault="00C05BB3" w:rsidP="00C05BB3">
      <w:pPr>
        <w:ind w:left="360"/>
      </w:pPr>
      <w:r>
        <w:t xml:space="preserve">        </w:t>
      </w:r>
    </w:p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Default="00D7740E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21561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D7740E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2156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D7740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0E" w:rsidRPr="00CC55C6" w:rsidRDefault="00D7740E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40E" w:rsidRPr="00CC55C6" w:rsidRDefault="00D7740E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DB7B0D">
        <w:rPr>
          <w:b/>
          <w:u w:val="single"/>
        </w:rPr>
        <w:t>25</w:t>
      </w:r>
      <w:r>
        <w:rPr>
          <w:b/>
          <w:u w:val="single"/>
        </w:rPr>
        <w:t xml:space="preserve"> </w:t>
      </w:r>
      <w:r w:rsidR="007C3AF1">
        <w:rPr>
          <w:b/>
          <w:u w:val="single"/>
        </w:rPr>
        <w:t>febrero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591CE9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591CE9" w:rsidP="00591CE9">
            <w:pPr>
              <w:pStyle w:val="NormalWeb"/>
              <w:jc w:val="center"/>
              <w:textAlignment w:val="top"/>
            </w:pPr>
            <w:r>
              <w:t>12</w:t>
            </w:r>
          </w:p>
        </w:tc>
        <w:tc>
          <w:tcPr>
            <w:tcW w:w="2027" w:type="dxa"/>
          </w:tcPr>
          <w:p w:rsidR="00A433EB" w:rsidRPr="0047077E" w:rsidRDefault="00DB7B0D" w:rsidP="00DB7B0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A433EB" w:rsidRPr="0047077E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DB7B0D" w:rsidP="00DB7B0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Pr="0047077E" w:rsidRDefault="00DB7B0D" w:rsidP="007C3AF1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591CE9" w:rsidP="002634ED">
            <w:pPr>
              <w:pStyle w:val="NormalWeb"/>
              <w:jc w:val="center"/>
              <w:textAlignment w:val="top"/>
            </w:pPr>
            <w:r>
              <w:t>8:45</w:t>
            </w:r>
          </w:p>
        </w:tc>
        <w:tc>
          <w:tcPr>
            <w:tcW w:w="2027" w:type="dxa"/>
          </w:tcPr>
          <w:p w:rsidR="00A433EB" w:rsidRPr="0047077E" w:rsidRDefault="00A433EB" w:rsidP="007C3AF1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2250" w:type="dxa"/>
          </w:tcPr>
          <w:p w:rsidR="00A433EB" w:rsidRPr="0047077E" w:rsidRDefault="00DB7B0D" w:rsidP="00DB7B0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DB7B0D" w:rsidP="007C3AF1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250" w:type="dxa"/>
          </w:tcPr>
          <w:p w:rsidR="00A433EB" w:rsidRPr="0047077E" w:rsidRDefault="00DB7B0D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F7679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433EB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</w:t>
            </w:r>
            <w:r w:rsidR="00591CE9">
              <w:t>0:15</w:t>
            </w:r>
          </w:p>
        </w:tc>
        <w:tc>
          <w:tcPr>
            <w:tcW w:w="2027" w:type="dxa"/>
          </w:tcPr>
          <w:p w:rsidR="00A433EB" w:rsidRDefault="00DB7B0D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A433EB" w:rsidRDefault="00DB7B0D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DB7B0D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50" w:type="dxa"/>
          </w:tcPr>
          <w:p w:rsidR="00DB7B0D" w:rsidRDefault="00DB7B0D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2551E">
        <w:t>1, 8</w:t>
      </w:r>
      <w:r w:rsidR="00361D5C">
        <w:t>.</w:t>
      </w:r>
    </w:p>
    <w:p w:rsidR="0002551E" w:rsidRPr="006A4B11" w:rsidRDefault="00591CE9" w:rsidP="00591CE9">
      <w:pPr>
        <w:ind w:left="2835" w:hanging="283"/>
        <w:rPr>
          <w:i/>
          <w:strike/>
          <w:color w:val="FF0000"/>
        </w:rPr>
      </w:pPr>
      <w:r w:rsidRPr="006A4B11">
        <w:rPr>
          <w:strike/>
          <w:color w:val="FF0000"/>
        </w:rPr>
        <w:t>-</w:t>
      </w:r>
      <w:r w:rsidRPr="006A4B11">
        <w:rPr>
          <w:color w:val="FF0000"/>
        </w:rPr>
        <w:t xml:space="preserve">    </w:t>
      </w:r>
      <w:r w:rsidR="0002551E" w:rsidRPr="006A4B11">
        <w:rPr>
          <w:i/>
          <w:strike/>
          <w:color w:val="FF0000"/>
        </w:rPr>
        <w:t>roja al nº 13 (Ismael Hernando López) por agarrarse y encararse con un contrario,</w:t>
      </w:r>
    </w:p>
    <w:p w:rsidR="00591CE9" w:rsidRPr="006A4B11" w:rsidRDefault="0002551E" w:rsidP="0002551E">
      <w:pPr>
        <w:ind w:left="2880"/>
        <w:rPr>
          <w:i/>
          <w:strike/>
          <w:color w:val="FF0000"/>
        </w:rPr>
      </w:pPr>
      <w:r w:rsidRPr="006A4B11">
        <w:rPr>
          <w:i/>
          <w:strike/>
          <w:color w:val="FF0000"/>
        </w:rPr>
        <w:t>Se le sanciona, de manera cautelar, con 6 partidos de sanción y 48 euros de multa.</w:t>
      </w:r>
    </w:p>
    <w:p w:rsidR="00591CE9" w:rsidRPr="006A4B11" w:rsidRDefault="00591CE9" w:rsidP="00591CE9">
      <w:pPr>
        <w:ind w:left="2880" w:hanging="328"/>
        <w:rPr>
          <w:b/>
          <w:i/>
          <w:color w:val="FF0000"/>
        </w:rPr>
      </w:pPr>
      <w:r w:rsidRPr="006A4B11">
        <w:rPr>
          <w:strike/>
          <w:color w:val="FF0000"/>
        </w:rPr>
        <w:t>-</w:t>
      </w:r>
      <w:r w:rsidRPr="006A4B11">
        <w:rPr>
          <w:color w:val="FF0000"/>
        </w:rPr>
        <w:t xml:space="preserve">    </w:t>
      </w:r>
      <w:r w:rsidRPr="006A4B11">
        <w:rPr>
          <w:b/>
          <w:i/>
          <w:color w:val="FF0000"/>
        </w:rPr>
        <w:t>roja al nº 17 (Leonel Cruz) por empujarse, dar un manotazo y forcejear con un contrario.</w:t>
      </w:r>
    </w:p>
    <w:p w:rsidR="006A4B11" w:rsidRPr="006A4B11" w:rsidRDefault="00591CE9" w:rsidP="00591CE9">
      <w:pPr>
        <w:ind w:left="2880" w:hanging="328"/>
        <w:rPr>
          <w:b/>
          <w:i/>
          <w:color w:val="FF0000"/>
        </w:rPr>
      </w:pPr>
      <w:r w:rsidRPr="006A4B11">
        <w:rPr>
          <w:b/>
          <w:i/>
          <w:color w:val="FF0000"/>
        </w:rPr>
        <w:tab/>
        <w:t xml:space="preserve">Se le sanciona con 12 partidos de suspensión y 48 euros de multa. </w:t>
      </w:r>
    </w:p>
    <w:p w:rsidR="006A4B11" w:rsidRPr="006A4B11" w:rsidRDefault="006A4B11" w:rsidP="00591CE9">
      <w:pPr>
        <w:ind w:left="2880" w:hanging="328"/>
        <w:rPr>
          <w:b/>
          <w:i/>
          <w:color w:val="FF0000"/>
        </w:rPr>
      </w:pPr>
      <w:r w:rsidRPr="006A4B11">
        <w:rPr>
          <w:b/>
          <w:i/>
          <w:color w:val="FF0000"/>
        </w:rPr>
        <w:t>-</w:t>
      </w:r>
      <w:r w:rsidRPr="006A4B11">
        <w:rPr>
          <w:b/>
          <w:i/>
          <w:color w:val="FF0000"/>
        </w:rPr>
        <w:tab/>
        <w:t>Al Delegado (Leonel Cruz) se le suspende con 10 partidos en esa tarea y se le multa con 24 euros por no advertir en el momento de cumplimentar el Acta al árbitro de la imputación errónea a otro jugador que no había intervenido en la incidencia.</w:t>
      </w:r>
    </w:p>
    <w:p w:rsidR="00591CE9" w:rsidRPr="006A4B11" w:rsidRDefault="006A4B11" w:rsidP="00591CE9">
      <w:pPr>
        <w:ind w:left="2880" w:hanging="328"/>
        <w:rPr>
          <w:strike/>
          <w:color w:val="FF0000"/>
        </w:rPr>
      </w:pPr>
      <w:r w:rsidRPr="006A4B11">
        <w:rPr>
          <w:color w:val="FF0000"/>
        </w:rPr>
        <w:t xml:space="preserve"> </w:t>
      </w:r>
      <w:r w:rsidR="00591CE9" w:rsidRPr="006A4B11">
        <w:rPr>
          <w:strike/>
          <w:color w:val="FF0000"/>
        </w:rPr>
        <w:t xml:space="preserve">     </w:t>
      </w:r>
    </w:p>
    <w:p w:rsidR="00591CE9" w:rsidRPr="00591CE9" w:rsidRDefault="00591CE9" w:rsidP="0002551E">
      <w:pPr>
        <w:ind w:left="2880"/>
        <w:rPr>
          <w:b/>
          <w:i/>
          <w:color w:val="FF0000"/>
        </w:rPr>
      </w:pPr>
      <w:r w:rsidRPr="006A4B11">
        <w:rPr>
          <w:b/>
          <w:i/>
          <w:color w:val="FF0000"/>
        </w:rPr>
        <w:t>Además, a Santiago Ortega Gil,</w:t>
      </w:r>
      <w:r w:rsidRPr="00591CE9">
        <w:rPr>
          <w:b/>
          <w:i/>
          <w:color w:val="FF0000"/>
        </w:rPr>
        <w:t xml:space="preserve"> sancionado cautelarmente con dos partidos en el Acta del 4-2-2024, se le cambia la sanción a 12 partidos de suspensión y 48 euros de multa por su mayor grado de participación en la incidencia.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9259A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1</w:t>
      </w:r>
      <w:r w:rsidR="00677A01">
        <w:t>3, 19, 22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043F52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77A01">
        <w:t>5</w:t>
      </w:r>
      <w:r w:rsidR="00F7679C">
        <w:t xml:space="preserve">, </w:t>
      </w:r>
      <w:r w:rsidR="00677A01">
        <w:t>25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677A01">
        <w:t>7, 22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77A01">
        <w:t>6, 14</w:t>
      </w:r>
      <w:r w:rsidR="00D203E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043F52">
        <w:t>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P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677A01" w:rsidRDefault="00677A01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7C2879" w:rsidRDefault="0026205F" w:rsidP="007C2879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8, 26.</w:t>
      </w:r>
    </w:p>
    <w:p w:rsidR="00677A01" w:rsidRPr="00B663C4" w:rsidRDefault="00B663C4" w:rsidP="00B663C4">
      <w:pPr>
        <w:numPr>
          <w:ilvl w:val="3"/>
          <w:numId w:val="11"/>
        </w:numPr>
        <w:rPr>
          <w:i/>
          <w:strike/>
          <w:color w:val="FF0000"/>
        </w:rPr>
      </w:pPr>
      <w:r>
        <w:t xml:space="preserve"> </w:t>
      </w:r>
      <w:r w:rsidR="00677A01" w:rsidRPr="00B663C4">
        <w:rPr>
          <w:i/>
          <w:strike/>
          <w:color w:val="FF0000"/>
        </w:rPr>
        <w:t xml:space="preserve">roja al </w:t>
      </w:r>
      <w:proofErr w:type="spellStart"/>
      <w:r w:rsidR="00677A01" w:rsidRPr="00B663C4">
        <w:rPr>
          <w:i/>
          <w:strike/>
          <w:color w:val="FF0000"/>
        </w:rPr>
        <w:t>num.</w:t>
      </w:r>
      <w:proofErr w:type="spellEnd"/>
      <w:r w:rsidR="00677A01" w:rsidRPr="00B663C4">
        <w:rPr>
          <w:i/>
          <w:strike/>
          <w:color w:val="FF0000"/>
        </w:rPr>
        <w:t xml:space="preserve"> </w:t>
      </w:r>
      <w:r w:rsidR="003547FF" w:rsidRPr="00B663C4">
        <w:rPr>
          <w:i/>
          <w:strike/>
          <w:color w:val="FF0000"/>
        </w:rPr>
        <w:t>3</w:t>
      </w:r>
      <w:r w:rsidR="00677A01" w:rsidRPr="00B663C4">
        <w:rPr>
          <w:i/>
          <w:strike/>
          <w:color w:val="FF0000"/>
        </w:rPr>
        <w:t xml:space="preserve"> (</w:t>
      </w:r>
      <w:r w:rsidR="003547FF" w:rsidRPr="00B663C4">
        <w:rPr>
          <w:i/>
          <w:strike/>
          <w:color w:val="FF0000"/>
        </w:rPr>
        <w:t>Julián Alberto Rojas Arango</w:t>
      </w:r>
      <w:r w:rsidR="00677A01" w:rsidRPr="00B663C4">
        <w:rPr>
          <w:i/>
          <w:strike/>
          <w:color w:val="FF0000"/>
        </w:rPr>
        <w:t>) por encararse y agarrar al árbitro. Se le suspende por 18 partidos y 48 euros de multa.</w:t>
      </w:r>
    </w:p>
    <w:p w:rsidR="006A4B11" w:rsidRDefault="006A4B11" w:rsidP="006A4B11">
      <w:pPr>
        <w:ind w:left="2880"/>
        <w:rPr>
          <w:b/>
          <w:i/>
          <w:color w:val="FF0000"/>
        </w:rPr>
      </w:pPr>
      <w:r w:rsidRPr="00B663C4">
        <w:rPr>
          <w:b/>
          <w:i/>
          <w:color w:val="FF0000"/>
        </w:rPr>
        <w:t>Tras aclarar lo realmente ocurrido, la sanción final será de 2 partidos de suspensión y 12 euros de multa.</w:t>
      </w:r>
    </w:p>
    <w:p w:rsidR="003547FF" w:rsidRPr="00B663C4" w:rsidRDefault="00B663C4" w:rsidP="00B663C4">
      <w:pPr>
        <w:ind w:left="2880" w:hanging="328"/>
        <w:rPr>
          <w:i/>
          <w:strike/>
          <w:color w:val="FF0000"/>
        </w:rPr>
      </w:pPr>
      <w:r>
        <w:rPr>
          <w:i/>
          <w:strike/>
          <w:color w:val="FF0000"/>
        </w:rPr>
        <w:t>-</w:t>
      </w:r>
      <w:r>
        <w:rPr>
          <w:i/>
          <w:color w:val="FF0000"/>
        </w:rPr>
        <w:t xml:space="preserve">     </w:t>
      </w:r>
      <w:r w:rsidR="003547FF" w:rsidRPr="00B663C4">
        <w:rPr>
          <w:i/>
          <w:strike/>
          <w:color w:val="FF0000"/>
        </w:rPr>
        <w:t>roja al nº 4 (Andrés Felipe Triviño Gil) por agarrarse y encararse con un contrario,</w:t>
      </w:r>
    </w:p>
    <w:p w:rsidR="003547FF" w:rsidRPr="00B663C4" w:rsidRDefault="003547FF" w:rsidP="003547FF">
      <w:pPr>
        <w:ind w:left="2880"/>
        <w:rPr>
          <w:i/>
          <w:strike/>
          <w:color w:val="FF0000"/>
        </w:rPr>
      </w:pPr>
      <w:r w:rsidRPr="00B663C4">
        <w:rPr>
          <w:i/>
          <w:strike/>
          <w:color w:val="FF0000"/>
        </w:rPr>
        <w:t>Se le sanciona, de manera cautelar, con 6 partidos de sanción y 48 euros de multa.</w:t>
      </w:r>
    </w:p>
    <w:p w:rsidR="00CD21BF" w:rsidRPr="00CD21BF" w:rsidRDefault="00CD21BF" w:rsidP="00CD21BF">
      <w:pPr>
        <w:ind w:left="360" w:firstLine="2192"/>
        <w:rPr>
          <w:b/>
          <w:i/>
          <w:color w:val="FF0000"/>
        </w:rPr>
      </w:pPr>
      <w:r>
        <w:rPr>
          <w:b/>
          <w:i/>
          <w:color w:val="FF0000"/>
        </w:rPr>
        <w:t xml:space="preserve">-    </w:t>
      </w:r>
      <w:r w:rsidRPr="00CD21BF">
        <w:rPr>
          <w:b/>
          <w:i/>
          <w:color w:val="FF0000"/>
        </w:rPr>
        <w:t xml:space="preserve">roja al nº </w:t>
      </w:r>
      <w:r>
        <w:rPr>
          <w:b/>
          <w:i/>
          <w:color w:val="FF0000"/>
        </w:rPr>
        <w:t>4</w:t>
      </w:r>
      <w:r w:rsidRPr="00CD21BF">
        <w:rPr>
          <w:b/>
          <w:i/>
          <w:color w:val="FF0000"/>
        </w:rPr>
        <w:t xml:space="preserve"> (</w:t>
      </w:r>
      <w:r>
        <w:rPr>
          <w:b/>
          <w:i/>
          <w:color w:val="FF0000"/>
        </w:rPr>
        <w:t xml:space="preserve">Andrés Felipe Triviño Gil) por empujarse, dar </w:t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</w:r>
      <w:r>
        <w:rPr>
          <w:b/>
          <w:i/>
          <w:color w:val="FF0000"/>
        </w:rPr>
        <w:tab/>
        <w:t>una patada</w:t>
      </w:r>
      <w:r w:rsidRPr="00CD21BF">
        <w:rPr>
          <w:b/>
          <w:i/>
          <w:color w:val="FF0000"/>
        </w:rPr>
        <w:t xml:space="preserve"> y forcejear con un contrario.</w:t>
      </w:r>
    </w:p>
    <w:p w:rsidR="00CD21BF" w:rsidRPr="00CD21BF" w:rsidRDefault="00CD21BF" w:rsidP="00CD21BF">
      <w:pPr>
        <w:pStyle w:val="Prrafodelista"/>
        <w:ind w:left="2835"/>
        <w:rPr>
          <w:b/>
          <w:i/>
          <w:color w:val="FF0000"/>
        </w:rPr>
      </w:pPr>
      <w:r w:rsidRPr="00CD21BF">
        <w:rPr>
          <w:b/>
          <w:i/>
          <w:color w:val="FF0000"/>
        </w:rPr>
        <w:t xml:space="preserve">Se le sanciona con 12 partidos de suspensión y 48 euros de multa. </w:t>
      </w:r>
    </w:p>
    <w:p w:rsidR="003547FF" w:rsidRDefault="003547FF" w:rsidP="00CD21BF">
      <w:pPr>
        <w:ind w:left="2880"/>
      </w:pP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E37CAD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F7679C">
        <w:t>1, 17</w:t>
      </w:r>
      <w:r w:rsidR="00E37CAD">
        <w:t>.</w:t>
      </w: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 xml:space="preserve">Se le suspende la ficha a perpetuidad y se le multa con 48 euros por golpear al árbitro con el balón, </w:t>
            </w:r>
            <w:r w:rsidRPr="0029147C">
              <w:rPr>
                <w:sz w:val="20"/>
                <w:szCs w:val="20"/>
              </w:rPr>
              <w:lastRenderedPageBreak/>
              <w:t>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861E61" w:rsidRPr="003500F1" w:rsidTr="002634ED">
        <w:tc>
          <w:tcPr>
            <w:tcW w:w="1531" w:type="dxa"/>
          </w:tcPr>
          <w:p w:rsidR="00861E61" w:rsidRDefault="00861E61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Damián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861E61" w:rsidRDefault="00861E61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3-12-2023</w:t>
            </w:r>
          </w:p>
        </w:tc>
        <w:tc>
          <w:tcPr>
            <w:tcW w:w="1276" w:type="dxa"/>
          </w:tcPr>
          <w:p w:rsidR="00861E61" w:rsidRDefault="00861E61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10 partidos de suspensión en su responsabilidad  como delegado y 48 euros de multa por su actuación tras el partido </w:t>
            </w:r>
            <w:proofErr w:type="spellStart"/>
            <w:r>
              <w:rPr>
                <w:sz w:val="20"/>
                <w:szCs w:val="20"/>
              </w:rPr>
              <w:t>Yepronor-Unirea</w:t>
            </w:r>
            <w:proofErr w:type="spellEnd"/>
            <w:r>
              <w:rPr>
                <w:sz w:val="20"/>
                <w:szCs w:val="20"/>
              </w:rPr>
              <w:t xml:space="preserve"> del 26-11-2023.</w:t>
            </w:r>
          </w:p>
          <w:p w:rsidR="00861E61" w:rsidRDefault="00861E61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26-11-2023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Adrian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Ionut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Grigore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(delegado)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433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como delegado por 6 partidos y multa de 24 euros por no evitar / reducir la incidencia habida,</w:t>
            </w:r>
            <w:r>
              <w:rPr>
                <w:sz w:val="20"/>
                <w:szCs w:val="20"/>
              </w:rPr>
              <w:br/>
              <w:t>Acta del 21-1-2024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Maymoune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El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Bourkhissi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9)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3-3-2024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suspende por 6 partidos y multa de 48 euros por lanzar un puñetazo.</w:t>
            </w:r>
          </w:p>
          <w:p w:rsidR="00043F52" w:rsidRDefault="00043F52" w:rsidP="00433FF8">
            <w:pPr>
              <w:rPr>
                <w:sz w:val="20"/>
                <w:szCs w:val="20"/>
              </w:rPr>
            </w:pP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Rubén Darío Herrera Ramírez (delegado)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17-3-2024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6 partidos y 24 euros de multa como delegado por protestas al árbitro.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4-2-2024 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incidencia a otro jugador .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lastRenderedPageBreak/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3547FF" w:rsidRPr="003500F1" w:rsidTr="002634ED">
        <w:tc>
          <w:tcPr>
            <w:tcW w:w="1531" w:type="dxa"/>
          </w:tcPr>
          <w:p w:rsidR="003547FF" w:rsidRDefault="001B5CD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Julián Alberto Rojas Arango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3)</w:t>
            </w:r>
          </w:p>
        </w:tc>
        <w:tc>
          <w:tcPr>
            <w:tcW w:w="1134" w:type="dxa"/>
          </w:tcPr>
          <w:p w:rsidR="003547FF" w:rsidRDefault="001B5CD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3547FF" w:rsidRDefault="001B5CD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8374C0" w:rsidP="008374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1B5CD9" w:rsidP="001B5CD9">
            <w:pPr>
              <w:ind w:left="34"/>
              <w:rPr>
                <w:sz w:val="22"/>
                <w:szCs w:val="22"/>
              </w:rPr>
            </w:pPr>
            <w:r w:rsidRPr="001B5CD9">
              <w:rPr>
                <w:sz w:val="22"/>
                <w:szCs w:val="22"/>
              </w:rPr>
              <w:t xml:space="preserve">Se le suspende por </w:t>
            </w:r>
            <w:r w:rsidR="008374C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partidos y </w:t>
            </w:r>
            <w:r w:rsidR="008374C0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euros de multa</w:t>
            </w:r>
            <w:r w:rsidRPr="001B5CD9">
              <w:rPr>
                <w:sz w:val="22"/>
                <w:szCs w:val="22"/>
              </w:rPr>
              <w:t xml:space="preserve"> por </w:t>
            </w:r>
            <w:r w:rsidR="008374C0">
              <w:rPr>
                <w:sz w:val="22"/>
                <w:szCs w:val="22"/>
              </w:rPr>
              <w:t>agarrar al árbitro del brazo.</w:t>
            </w:r>
            <w:r w:rsidRPr="001B5CD9">
              <w:rPr>
                <w:sz w:val="22"/>
                <w:szCs w:val="22"/>
              </w:rPr>
              <w:t xml:space="preserve"> </w:t>
            </w:r>
          </w:p>
          <w:p w:rsidR="001B5CD9" w:rsidRDefault="001B5CD9" w:rsidP="001B5CD9">
            <w:pPr>
              <w:ind w:left="34"/>
              <w:rPr>
                <w:sz w:val="22"/>
                <w:szCs w:val="22"/>
              </w:rPr>
            </w:pPr>
          </w:p>
          <w:p w:rsidR="001B5CD9" w:rsidRDefault="001B5CD9" w:rsidP="001B5CD9">
            <w:pPr>
              <w:ind w:left="34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Acta del 18-2-2024</w:t>
            </w:r>
          </w:p>
        </w:tc>
      </w:tr>
      <w:tr w:rsidR="00BF2856" w:rsidRPr="003500F1" w:rsidTr="002634ED">
        <w:tc>
          <w:tcPr>
            <w:tcW w:w="1531" w:type="dxa"/>
          </w:tcPr>
          <w:p w:rsidR="00BF2856" w:rsidRDefault="00BF285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Mamedu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BF2856" w:rsidRDefault="00BF28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BF2856" w:rsidRDefault="00BF285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BF2856" w:rsidRDefault="00BF285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4253" w:type="dxa"/>
          </w:tcPr>
          <w:p w:rsidR="00BF2856" w:rsidRPr="001B5CD9" w:rsidRDefault="00BF2856" w:rsidP="001B5CD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le sanciona con un partido de suspensión por acumulación de tarjetas amarillas.</w:t>
            </w:r>
          </w:p>
        </w:tc>
      </w:tr>
      <w:tr w:rsidR="00BF2856" w:rsidRPr="003500F1" w:rsidTr="002634ED">
        <w:tc>
          <w:tcPr>
            <w:tcW w:w="1531" w:type="dxa"/>
          </w:tcPr>
          <w:p w:rsidR="00BF2856" w:rsidRDefault="00BF285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Ayou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Benherraz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11)</w:t>
            </w:r>
          </w:p>
        </w:tc>
        <w:tc>
          <w:tcPr>
            <w:tcW w:w="1134" w:type="dxa"/>
          </w:tcPr>
          <w:p w:rsidR="00BF2856" w:rsidRDefault="00BF28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BF2856" w:rsidRDefault="00BF2856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BF2856" w:rsidRDefault="00BF2856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4253" w:type="dxa"/>
          </w:tcPr>
          <w:p w:rsidR="00BF2856" w:rsidRPr="001B5CD9" w:rsidRDefault="00BF2856" w:rsidP="00591CE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le sanciona con un partido de suspensión por acumulación de tarjetas amarillas.</w:t>
            </w:r>
          </w:p>
        </w:tc>
      </w:tr>
      <w:tr w:rsidR="00BF2856" w:rsidRPr="003500F1" w:rsidTr="002634ED">
        <w:tc>
          <w:tcPr>
            <w:tcW w:w="1531" w:type="dxa"/>
          </w:tcPr>
          <w:p w:rsidR="00BF2856" w:rsidRDefault="00CD21BF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Ander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Vallejo</w:t>
            </w:r>
          </w:p>
          <w:p w:rsidR="00BF2856" w:rsidRDefault="00BF285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8)</w:t>
            </w:r>
          </w:p>
        </w:tc>
        <w:tc>
          <w:tcPr>
            <w:tcW w:w="1134" w:type="dxa"/>
          </w:tcPr>
          <w:p w:rsidR="00BF2856" w:rsidRDefault="00BF2856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BF2856" w:rsidRDefault="00BF2856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BF2856" w:rsidRDefault="00BF2856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4253" w:type="dxa"/>
          </w:tcPr>
          <w:p w:rsidR="00BF2856" w:rsidRPr="001B5CD9" w:rsidRDefault="00BF2856" w:rsidP="00591CE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le sanciona con un partido de suspensión por acumulación de tarjetas amarillas.</w:t>
            </w:r>
          </w:p>
        </w:tc>
      </w:tr>
      <w:tr w:rsidR="00BF2856" w:rsidRPr="003500F1" w:rsidTr="002634ED">
        <w:tc>
          <w:tcPr>
            <w:tcW w:w="1531" w:type="dxa"/>
          </w:tcPr>
          <w:p w:rsidR="00BF2856" w:rsidRDefault="00BF285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Javier Cruz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Ararat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8)</w:t>
            </w:r>
          </w:p>
        </w:tc>
        <w:tc>
          <w:tcPr>
            <w:tcW w:w="1134" w:type="dxa"/>
          </w:tcPr>
          <w:p w:rsidR="00BF2856" w:rsidRDefault="00BF2856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BF2856" w:rsidRDefault="00BF2856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BF2856" w:rsidRDefault="00BF2856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4253" w:type="dxa"/>
          </w:tcPr>
          <w:p w:rsidR="00BF2856" w:rsidRPr="001B5CD9" w:rsidRDefault="00BF2856" w:rsidP="00591CE9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le sanciona con un partido de suspensión por acumulación de tarjetas amarillas.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lastRenderedPageBreak/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D747D0" w:rsidRDefault="00866429" w:rsidP="00D747D0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 xml:space="preserve">Pagos </w:t>
      </w:r>
      <w:r w:rsidR="008A3714">
        <w:rPr>
          <w:b/>
          <w:u w:val="single"/>
        </w:rPr>
        <w:t xml:space="preserve">de cuotas </w:t>
      </w:r>
      <w:r w:rsidR="00AB6679" w:rsidRPr="002160C9">
        <w:rPr>
          <w:b/>
          <w:u w:val="single"/>
        </w:rPr>
        <w:t>pendientes a esta fecha.</w:t>
      </w:r>
    </w:p>
    <w:p w:rsidR="00143687" w:rsidRDefault="00143687" w:rsidP="00143687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cuota</w:t>
      </w:r>
      <w:r w:rsidR="00536D40">
        <w:rPr>
          <w:color w:val="000000"/>
          <w:shd w:val="clear" w:color="auto" w:fill="FFFFFF"/>
        </w:rPr>
        <w:t>s</w:t>
      </w:r>
      <w:r>
        <w:rPr>
          <w:color w:val="000000"/>
          <w:shd w:val="clear" w:color="auto" w:fill="FFFFFF"/>
        </w:rPr>
        <w:t xml:space="preserve"> y las multas del 4º trimestre 2023: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143687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143687" w:rsidRDefault="00143687" w:rsidP="00146F91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827D02">
            <w:pPr>
              <w:spacing w:before="100" w:after="100"/>
              <w:jc w:val="center"/>
            </w:pPr>
            <w:r>
              <w:t>4</w:t>
            </w:r>
            <w:r w:rsidR="00827D02">
              <w:t>92,14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50954" w:rsidP="00827D02">
            <w:pPr>
              <w:spacing w:before="100" w:after="100"/>
              <w:jc w:val="center"/>
            </w:pPr>
            <w:r>
              <w:t>3</w:t>
            </w:r>
            <w:r w:rsidR="00827D02">
              <w:t>24,78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797DA0" w:rsidP="00146F91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827D02" w:rsidP="00827D02">
            <w:pPr>
              <w:spacing w:before="100" w:after="100"/>
              <w:jc w:val="center"/>
            </w:pPr>
            <w:r>
              <w:t>288,85</w:t>
            </w:r>
            <w:r w:rsidR="00550954"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536D40">
            <w:pPr>
              <w:spacing w:before="100" w:after="100"/>
              <w:jc w:val="both"/>
            </w:pPr>
            <w:r>
              <w:t>San Agustín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827D02">
            <w:pPr>
              <w:spacing w:before="100" w:after="100"/>
              <w:jc w:val="center"/>
            </w:pPr>
            <w:r>
              <w:t>4</w:t>
            </w:r>
            <w:r w:rsidR="00827D02">
              <w:t>3,33</w:t>
            </w:r>
            <w:r>
              <w:t xml:space="preserve"> €</w:t>
            </w:r>
          </w:p>
        </w:tc>
      </w:tr>
      <w:tr w:rsidR="00797DA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6972A1" w:rsidP="006972A1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7DA0" w:rsidRDefault="00536D40" w:rsidP="00827D02">
            <w:pPr>
              <w:spacing w:before="100" w:after="100"/>
              <w:jc w:val="center"/>
            </w:pPr>
            <w:r>
              <w:t>1</w:t>
            </w:r>
            <w:r w:rsidR="00827D02">
              <w:t>14,16</w:t>
            </w:r>
            <w:r w:rsidR="00550954">
              <w:t xml:space="preserve"> €</w:t>
            </w:r>
          </w:p>
        </w:tc>
      </w:tr>
      <w:tr w:rsidR="00536D40" w:rsidTr="00550954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536D40" w:rsidP="006972A1">
            <w:pPr>
              <w:spacing w:before="100" w:after="100"/>
              <w:jc w:val="both"/>
            </w:pPr>
            <w:r>
              <w:t>La Perla del Oeste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6D40" w:rsidRDefault="00827D02" w:rsidP="00827D02">
            <w:pPr>
              <w:spacing w:before="100" w:after="100"/>
              <w:jc w:val="center"/>
            </w:pPr>
            <w:r>
              <w:t>50,06</w:t>
            </w:r>
            <w:r w:rsidR="00536D40">
              <w:t xml:space="preserve"> €</w:t>
            </w:r>
          </w:p>
        </w:tc>
      </w:tr>
    </w:tbl>
    <w:p w:rsidR="00143687" w:rsidRPr="000765EB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43687" w:rsidRDefault="00143687" w:rsidP="0014368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2023</w:t>
      </w:r>
      <w:r w:rsidRPr="002160C9">
        <w:rPr>
          <w:b/>
          <w:u w:val="single"/>
        </w:rPr>
        <w:t>.</w:t>
      </w:r>
    </w:p>
    <w:p w:rsidR="008A3714" w:rsidRDefault="008A3714" w:rsidP="008A3714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23-1-2024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8A3714" w:rsidTr="00B27415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8A3714" w:rsidTr="00B27415">
        <w:tc>
          <w:tcPr>
            <w:tcW w:w="212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8A3714" w:rsidRDefault="008A3714" w:rsidP="008A3714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8A3714" w:rsidTr="00B27415">
        <w:tc>
          <w:tcPr>
            <w:tcW w:w="2126" w:type="dxa"/>
          </w:tcPr>
          <w:p w:rsidR="008A3714" w:rsidRDefault="008A3714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72,00 €</w:t>
            </w:r>
          </w:p>
        </w:tc>
        <w:tc>
          <w:tcPr>
            <w:tcW w:w="1786" w:type="dxa"/>
          </w:tcPr>
          <w:p w:rsidR="008A3714" w:rsidRPr="00B27415" w:rsidRDefault="008A3714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96,00 €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15,75 €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15,75 €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30,00 €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42,00 €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37,50 €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25,50 €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49,50 €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181,50 €</w:t>
            </w:r>
          </w:p>
        </w:tc>
      </w:tr>
      <w:tr w:rsidR="008A3714" w:rsidTr="00B27415">
        <w:tc>
          <w:tcPr>
            <w:tcW w:w="2126" w:type="dxa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46,50 €</w:t>
            </w:r>
          </w:p>
        </w:tc>
      </w:tr>
      <w:tr w:rsidR="008A3714" w:rsidTr="00B27415">
        <w:tc>
          <w:tcPr>
            <w:tcW w:w="212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B27415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Default="008A3714" w:rsidP="008A3714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8A3714" w:rsidRPr="00B27415" w:rsidRDefault="00B27415" w:rsidP="008A3714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33,00 €</w:t>
            </w:r>
          </w:p>
        </w:tc>
      </w:tr>
    </w:tbl>
    <w:p w:rsidR="008A3714" w:rsidRPr="00D747D0" w:rsidRDefault="00B27415" w:rsidP="00B27415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A3714" w:rsidRDefault="008A3714" w:rsidP="008A3714">
      <w:pPr>
        <w:shd w:val="clear" w:color="auto" w:fill="FFFFFF"/>
        <w:spacing w:before="100" w:after="100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70" w:rsidRDefault="00DD3370">
      <w:r>
        <w:separator/>
      </w:r>
    </w:p>
  </w:endnote>
  <w:endnote w:type="continuationSeparator" w:id="0">
    <w:p w:rsidR="00DD3370" w:rsidRDefault="00DD3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C4" w:rsidRDefault="00B663C4">
    <w:pPr>
      <w:pStyle w:val="Piedepgina"/>
      <w:pBdr>
        <w:bottom w:val="single" w:sz="12" w:space="1" w:color="auto"/>
      </w:pBdr>
    </w:pPr>
  </w:p>
  <w:p w:rsidR="00B663C4" w:rsidRPr="00B62BB2" w:rsidRDefault="00B663C4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16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18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827D02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827D02">
      <w:rPr>
        <w:rStyle w:val="Nmerodepgina"/>
        <w:noProof/>
        <w:sz w:val="18"/>
        <w:szCs w:val="18"/>
      </w:rPr>
      <w:t>8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70" w:rsidRDefault="00DD3370">
      <w:r>
        <w:separator/>
      </w:r>
    </w:p>
  </w:footnote>
  <w:footnote w:type="continuationSeparator" w:id="0">
    <w:p w:rsidR="00DD3370" w:rsidRDefault="00DD3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96A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64CB"/>
    <w:rsid w:val="004400E1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972A1"/>
    <w:rsid w:val="006A0DA6"/>
    <w:rsid w:val="006A1A2D"/>
    <w:rsid w:val="006A24DB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3EB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6B27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0FB"/>
    <w:rsid w:val="00BE5E2F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5B0D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79C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00201-DB91-4934-B083-EF518080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1978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3</cp:revision>
  <cp:lastPrinted>2024-01-16T11:09:00Z</cp:lastPrinted>
  <dcterms:created xsi:type="dcterms:W3CDTF">2024-02-22T19:26:00Z</dcterms:created>
  <dcterms:modified xsi:type="dcterms:W3CDTF">2024-02-23T13:25:00Z</dcterms:modified>
</cp:coreProperties>
</file>